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E1" w:rsidRPr="00AC3925" w:rsidRDefault="00245FE1" w:rsidP="00245FE1">
      <w:pPr>
        <w:autoSpaceDE w:val="0"/>
        <w:autoSpaceDN w:val="0"/>
        <w:adjustRightInd w:val="0"/>
        <w:ind w:left="5670" w:right="282"/>
        <w:jc w:val="right"/>
        <w:rPr>
          <w:sz w:val="28"/>
          <w:szCs w:val="28"/>
        </w:rPr>
      </w:pPr>
      <w:r w:rsidRPr="00AC3925">
        <w:rPr>
          <w:sz w:val="28"/>
          <w:szCs w:val="28"/>
        </w:rPr>
        <w:t>ПРОЕКТ</w:t>
      </w:r>
    </w:p>
    <w:p w:rsidR="00245FE1" w:rsidRPr="00AC3925" w:rsidRDefault="00245FE1" w:rsidP="00245FE1">
      <w:pPr>
        <w:autoSpaceDE w:val="0"/>
        <w:autoSpaceDN w:val="0"/>
        <w:adjustRightInd w:val="0"/>
        <w:ind w:left="5670" w:right="282"/>
        <w:jc w:val="right"/>
        <w:rPr>
          <w:sz w:val="28"/>
          <w:szCs w:val="28"/>
        </w:rPr>
      </w:pPr>
    </w:p>
    <w:p w:rsidR="00245FE1" w:rsidRPr="002862CD" w:rsidRDefault="00245FE1" w:rsidP="00245FE1">
      <w:pPr>
        <w:spacing w:before="375"/>
        <w:ind w:left="5812" w:right="282"/>
        <w:contextualSpacing/>
        <w:textAlignment w:val="baseline"/>
        <w:outlineLvl w:val="2"/>
        <w:rPr>
          <w:spacing w:val="2"/>
          <w:sz w:val="24"/>
          <w:szCs w:val="24"/>
          <w:lang w:eastAsia="ru-RU"/>
        </w:rPr>
      </w:pPr>
      <w:r w:rsidRPr="00AC3925">
        <w:rPr>
          <w:sz w:val="28"/>
          <w:szCs w:val="28"/>
        </w:rPr>
        <w:br/>
      </w:r>
      <w:proofErr w:type="gramStart"/>
      <w:r w:rsidRPr="002862CD">
        <w:rPr>
          <w:spacing w:val="2"/>
          <w:sz w:val="24"/>
          <w:szCs w:val="24"/>
          <w:lang w:eastAsia="ru-RU"/>
        </w:rPr>
        <w:t>УТВЕРЖДЕНА</w:t>
      </w:r>
      <w:proofErr w:type="gramEnd"/>
      <w:r w:rsidRPr="002862CD">
        <w:rPr>
          <w:spacing w:val="2"/>
          <w:sz w:val="24"/>
          <w:szCs w:val="24"/>
          <w:lang w:eastAsia="ru-RU"/>
        </w:rPr>
        <w:t xml:space="preserve">                                                        </w:t>
      </w:r>
      <w:r>
        <w:rPr>
          <w:spacing w:val="2"/>
          <w:sz w:val="24"/>
          <w:szCs w:val="24"/>
          <w:lang w:eastAsia="ru-RU"/>
        </w:rPr>
        <w:t xml:space="preserve">                      приказом г</w:t>
      </w:r>
      <w:r w:rsidRPr="002862CD">
        <w:rPr>
          <w:spacing w:val="2"/>
          <w:sz w:val="24"/>
          <w:szCs w:val="24"/>
          <w:lang w:eastAsia="ru-RU"/>
        </w:rPr>
        <w:t>осударственной жилищной инспекции                                                                                                                                             Брянской области                                                                                       «___» декабря 2021 г. №  ____</w:t>
      </w:r>
    </w:p>
    <w:p w:rsidR="00245FE1" w:rsidRPr="00AC3925" w:rsidRDefault="00245FE1" w:rsidP="00245FE1">
      <w:pPr>
        <w:spacing w:before="375"/>
        <w:ind w:left="6372" w:right="282"/>
        <w:contextualSpacing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245FE1" w:rsidRPr="00AC3925" w:rsidRDefault="00245FE1" w:rsidP="00245FE1">
      <w:pPr>
        <w:spacing w:before="375"/>
        <w:ind w:right="282"/>
        <w:contextualSpacing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AC45E1" w:rsidRDefault="00AC45E1">
      <w:pPr>
        <w:spacing w:line="276" w:lineRule="auto"/>
        <w:jc w:val="both"/>
        <w:rPr>
          <w:sz w:val="28"/>
          <w:szCs w:val="28"/>
        </w:rPr>
      </w:pPr>
    </w:p>
    <w:p w:rsidR="00AC45E1" w:rsidRDefault="00E21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AC45E1" w:rsidRDefault="00E21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лицензионного контроля предпринимательской деятельности по управлению многоквартирными домами государственной жилищной инспекцией </w:t>
      </w:r>
      <w:r w:rsidR="00DE2B58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>области на 2022 год.</w:t>
      </w:r>
    </w:p>
    <w:p w:rsidR="00AC45E1" w:rsidRDefault="00AC45E1">
      <w:pPr>
        <w:spacing w:line="276" w:lineRule="auto"/>
        <w:jc w:val="center"/>
        <w:rPr>
          <w:sz w:val="28"/>
          <w:szCs w:val="28"/>
        </w:rPr>
      </w:pPr>
    </w:p>
    <w:p w:rsidR="00AC45E1" w:rsidRDefault="00E21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C45E1" w:rsidRDefault="00AC45E1">
      <w:pPr>
        <w:spacing w:line="360" w:lineRule="auto"/>
        <w:jc w:val="center"/>
        <w:rPr>
          <w:sz w:val="28"/>
          <w:szCs w:val="28"/>
        </w:rPr>
      </w:pP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государственной жилищной инспекцией </w:t>
      </w:r>
      <w:r w:rsidR="00DE2B58">
        <w:rPr>
          <w:sz w:val="28"/>
          <w:szCs w:val="28"/>
        </w:rPr>
        <w:t>Брянской</w:t>
      </w:r>
      <w:r>
        <w:rPr>
          <w:sz w:val="28"/>
          <w:szCs w:val="28"/>
        </w:rPr>
        <w:t xml:space="preserve"> области на 2022 год (далее - программа профилактики) разработана в соответствии со статьёй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лицами, индивидуальными предпринимателями и физическими лицами лицензионных требований, соблюдение которых оценивается государственной жилищной инспекцией </w:t>
      </w:r>
      <w:r w:rsidR="00DE2B58">
        <w:rPr>
          <w:sz w:val="28"/>
          <w:szCs w:val="28"/>
        </w:rPr>
        <w:t>Брянской</w:t>
      </w:r>
      <w:r>
        <w:rPr>
          <w:sz w:val="28"/>
          <w:szCs w:val="28"/>
        </w:rPr>
        <w:t xml:space="preserve"> области (далее - инспекция) при осуществлении регионального государственного </w:t>
      </w:r>
      <w:r>
        <w:rPr>
          <w:sz w:val="28"/>
          <w:szCs w:val="28"/>
        </w:rPr>
        <w:lastRenderedPageBreak/>
        <w:t xml:space="preserve">лицензионного контроля за осуществлением предпринимательской деятельности по управлению многоквартирными домами на территории </w:t>
      </w:r>
      <w:r w:rsidR="00DE2B58">
        <w:rPr>
          <w:sz w:val="28"/>
          <w:szCs w:val="28"/>
        </w:rPr>
        <w:t>Брянской</w:t>
      </w:r>
      <w:proofErr w:type="gramEnd"/>
      <w:r>
        <w:rPr>
          <w:sz w:val="28"/>
          <w:szCs w:val="28"/>
        </w:rPr>
        <w:t xml:space="preserve"> области, устранения причин, факторов и условий, способствующих нарушению таких лицензионных требований.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Подконтрольными субъектами в рамках программы профилактики являются юридические лица и индивидуальные предприниматели, осуществляющие предпринимательскую деятельность по управлению</w:t>
      </w:r>
      <w:r>
        <w:rPr>
          <w:sz w:val="28"/>
        </w:rPr>
        <w:t xml:space="preserve"> многоквартирными домами на основании лицензии.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Лицензионные требования, соблюдение которых оценивается инспекцией при осуществлении регионального государственного лицензионного контроля, устанавливаются жилищным законодательством, законодательством об энергосбережении и о повышении энергетической эффективности.</w:t>
      </w:r>
    </w:p>
    <w:p w:rsidR="00AC45E1" w:rsidRDefault="00AC45E1">
      <w:pPr>
        <w:spacing w:line="360" w:lineRule="auto"/>
        <w:jc w:val="both"/>
        <w:rPr>
          <w:sz w:val="28"/>
          <w:szCs w:val="28"/>
        </w:rPr>
      </w:pPr>
    </w:p>
    <w:p w:rsidR="00AC45E1" w:rsidRDefault="00E21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 состояния осуществления регионального государственного лицензионного контроля</w:t>
      </w:r>
    </w:p>
    <w:p w:rsidR="00AC45E1" w:rsidRDefault="00AC45E1">
      <w:pPr>
        <w:spacing w:line="360" w:lineRule="auto"/>
        <w:jc w:val="center"/>
        <w:rPr>
          <w:sz w:val="28"/>
          <w:szCs w:val="28"/>
        </w:rPr>
      </w:pPr>
    </w:p>
    <w:p w:rsidR="00AC45E1" w:rsidRPr="00546962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первом полугодии 2021 года инспекцией </w:t>
      </w:r>
      <w:r w:rsidRPr="00546962">
        <w:rPr>
          <w:sz w:val="28"/>
          <w:szCs w:val="28"/>
        </w:rPr>
        <w:t xml:space="preserve">проведены </w:t>
      </w:r>
      <w:r w:rsidR="00546962" w:rsidRPr="00546962">
        <w:rPr>
          <w:sz w:val="28"/>
          <w:szCs w:val="28"/>
        </w:rPr>
        <w:t>396</w:t>
      </w:r>
      <w:r>
        <w:rPr>
          <w:sz w:val="28"/>
          <w:szCs w:val="28"/>
        </w:rPr>
        <w:t xml:space="preserve"> внеплановые проверки по региональному государственному лицензионному контролю, по итогам </w:t>
      </w:r>
      <w:r w:rsidRPr="00546962">
        <w:rPr>
          <w:sz w:val="28"/>
          <w:szCs w:val="28"/>
        </w:rPr>
        <w:t xml:space="preserve">которых выявлены </w:t>
      </w:r>
      <w:r w:rsidR="00546962" w:rsidRPr="00546962">
        <w:rPr>
          <w:sz w:val="28"/>
          <w:szCs w:val="28"/>
        </w:rPr>
        <w:t>988</w:t>
      </w:r>
      <w:r w:rsidRPr="00546962">
        <w:rPr>
          <w:sz w:val="28"/>
          <w:szCs w:val="28"/>
        </w:rPr>
        <w:t xml:space="preserve"> нарушений.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проверок выдано </w:t>
      </w:r>
      <w:r w:rsidR="00546962" w:rsidRPr="00546962">
        <w:rPr>
          <w:sz w:val="28"/>
          <w:szCs w:val="28"/>
        </w:rPr>
        <w:t>2</w:t>
      </w:r>
      <w:r w:rsidR="00546962">
        <w:rPr>
          <w:sz w:val="28"/>
          <w:szCs w:val="28"/>
        </w:rPr>
        <w:t>22</w:t>
      </w:r>
      <w:r w:rsidR="00546962" w:rsidRPr="00546962">
        <w:rPr>
          <w:sz w:val="28"/>
          <w:szCs w:val="28"/>
        </w:rPr>
        <w:t xml:space="preserve"> </w:t>
      </w:r>
      <w:r w:rsidR="00546962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, привлечено к </w:t>
      </w:r>
      <w:r w:rsidRPr="00546962">
        <w:rPr>
          <w:sz w:val="28"/>
          <w:szCs w:val="28"/>
        </w:rPr>
        <w:t xml:space="preserve">административной ответственности </w:t>
      </w:r>
      <w:r w:rsidR="00546962" w:rsidRPr="00546962">
        <w:rPr>
          <w:sz w:val="28"/>
          <w:szCs w:val="28"/>
        </w:rPr>
        <w:t>89</w:t>
      </w:r>
      <w:r w:rsidRPr="00546962">
        <w:rPr>
          <w:sz w:val="28"/>
          <w:szCs w:val="28"/>
        </w:rPr>
        <w:t xml:space="preserve"> должностных и юридических</w:t>
      </w:r>
      <w:r>
        <w:rPr>
          <w:sz w:val="28"/>
          <w:szCs w:val="28"/>
        </w:rPr>
        <w:t xml:space="preserve"> лиц.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типичные нарушения, выявленные в результате проверок: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правил содержания и ремонта многоквартирных домов - более 60%,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законодательства о раскрытии информации - более 25%;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качества предоставления коммунальных услуг населению - более 8 %;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нарушение порядка расчета платы и внесения платы за жилищно-коммунальные услуги - более 3%.</w:t>
      </w:r>
    </w:p>
    <w:p w:rsidR="00AC45E1" w:rsidRDefault="00E219A0">
      <w:pPr>
        <w:spacing w:line="360" w:lineRule="auto"/>
        <w:ind w:firstLine="709"/>
        <w:contextualSpacing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В целях предотвращения нарушений обязательных требований  поднадзорными субъектами на официальном сайте инспекции в сети Интернет постоянно публикуется информация по вопросам соблюдения лицензионных требований, об изменениях в нормативных правовых актах, устанавливающих лицензионные требования. </w:t>
      </w:r>
    </w:p>
    <w:p w:rsidR="00AC45E1" w:rsidRDefault="00E219A0">
      <w:pPr>
        <w:spacing w:line="360" w:lineRule="auto"/>
        <w:ind w:firstLine="709"/>
        <w:contextualSpacing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В указанных разделах сайта систематически размещается информация  о практике осуществления инспекцией контрольно-надзорной деятельности, указываются наиболее часто выявляемые нарушения лицензионных требований с рекомендациями о мерах, которые необходимо предпринять в целях недопущения нарушений.</w:t>
      </w:r>
    </w:p>
    <w:p w:rsidR="00AC45E1" w:rsidRDefault="00E219A0">
      <w:pPr>
        <w:spacing w:line="36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В Инспекции утверждены ключевые показатели контрольно-надзорной деятельности и их паспорта.</w:t>
      </w:r>
    </w:p>
    <w:p w:rsidR="00AC45E1" w:rsidRDefault="00E219A0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Приказом инспекции от 06.03.2020 № 32 утвержден Перечень показателей результативности и эффективности контрольно-надзорной деятельности государственной жилищной инспекции </w:t>
      </w:r>
      <w:r w:rsidR="00DE2B58">
        <w:rPr>
          <w:rFonts w:ascii="PT Astra Serif" w:eastAsia="PT Astra Serif" w:hAnsi="PT Astra Serif" w:cs="PT Astra Serif"/>
          <w:sz w:val="28"/>
          <w:szCs w:val="28"/>
        </w:rPr>
        <w:t>Брянской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области по осуществлению лицензионного контроля предпринимательской деятельности по управлению мно</w:t>
      </w:r>
      <w:r w:rsidR="00245FE1">
        <w:rPr>
          <w:rFonts w:ascii="PT Astra Serif" w:eastAsia="PT Astra Serif" w:hAnsi="PT Astra Serif" w:cs="PT Astra Serif"/>
          <w:sz w:val="28"/>
          <w:szCs w:val="28"/>
        </w:rPr>
        <w:t>гоквартирными домами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AC45E1" w:rsidRDefault="00E219A0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Итоговая оценка результативности и эффективности контрольно-надзорной деятельности Инспекции по осуществлению лицензионного контроля предпринимательской деятельности по управлению многоквартирными </w:t>
      </w:r>
      <w:r w:rsidR="00245FE1">
        <w:rPr>
          <w:rFonts w:ascii="PT Astra Serif" w:eastAsia="PT Astra Serif" w:hAnsi="PT Astra Serif" w:cs="PT Astra Serif"/>
          <w:sz w:val="28"/>
          <w:szCs w:val="28"/>
        </w:rPr>
        <w:t>домами за 2021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год составила:</w:t>
      </w:r>
    </w:p>
    <w:p w:rsidR="00AC45E1" w:rsidRDefault="00E219A0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- по ключевым показателям группы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 xml:space="preserve"> А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>, отражающим уровень безопасности охраняемых законом ценностей, выражающийся в минимизации причинения им вреда (ущерба) процент выполнения - 100%;</w:t>
      </w:r>
    </w:p>
    <w:p w:rsidR="00AC45E1" w:rsidRDefault="00E219A0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- по индикативным показателям группы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 xml:space="preserve"> Б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, отражающим уровень безопасности охраняемых законом ценностей, выражающийся в минимизации причинения им вреда (ущерба), с учетом задействованных трудовых, </w:t>
      </w:r>
      <w:r>
        <w:rPr>
          <w:rFonts w:ascii="PT Astra Serif" w:eastAsia="PT Astra Serif" w:hAnsi="PT Astra Serif" w:cs="PT Astra Serif"/>
          <w:sz w:val="28"/>
          <w:szCs w:val="28"/>
        </w:rPr>
        <w:lastRenderedPageBreak/>
        <w:t>материальных и финансовых ресурсов при осуществлении в отношении них контрольно-надзорных мероприятий процент выполнения - от 80% до 100%;</w:t>
      </w:r>
    </w:p>
    <w:p w:rsidR="00AC45E1" w:rsidRDefault="00E219A0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- итоговая балльная оценка - 2,4, что соответствует плановым показателям.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инспекц</w:t>
      </w:r>
      <w:r w:rsidR="00DE2B58">
        <w:rPr>
          <w:sz w:val="28"/>
          <w:szCs w:val="28"/>
        </w:rPr>
        <w:t>ии от 30.12.2019 № 26</w:t>
      </w:r>
      <w:r>
        <w:rPr>
          <w:sz w:val="28"/>
          <w:szCs w:val="28"/>
        </w:rPr>
        <w:t xml:space="preserve"> утверждена программа профилактики нарушений требова</w:t>
      </w:r>
      <w:r w:rsidR="00DE2B58">
        <w:rPr>
          <w:sz w:val="28"/>
          <w:szCs w:val="28"/>
        </w:rPr>
        <w:t>ний на 2020 год и на период 2021-2022</w:t>
      </w:r>
      <w:r>
        <w:rPr>
          <w:sz w:val="28"/>
          <w:szCs w:val="28"/>
        </w:rPr>
        <w:t xml:space="preserve"> годов.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данной программы инспекцией утверждены перечни нормативных правовых актов, содержащих лицензионные требования, соблюдение которых оценивается при осуществлении регионального государственного лицензионного контроля.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перечни размещены на официальном сайте инспекции в сети Интернет в разделе «Контрольно-надзорная деятельность». Тексты указанных в перечнях нормативных правовых актов или их отдельных частей размещены и доступны для ознакомления в разделе «Законодательство» на официальном сайте инспекции в сети Интернет.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инспекции систематически размещается информация о практике осуществления контрольно-надзорной деятельности, указываются наиболее часто выявляемые нарушения лицензионных требований с рекомендациями о мерах, которые необходимо применять в целях недопущения нарушений.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нарушений государственными жилищными инспекторами активно применяется выдача предостережений контролируемым субъектам о недопустимости нарушения лицензионных требований.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и в первой половине 2021 года в связи с выполнением требований </w:t>
      </w:r>
      <w:r w:rsidR="00AA6BDE" w:rsidRPr="00AA6BDE">
        <w:rPr>
          <w:color w:val="000000"/>
          <w:sz w:val="28"/>
          <w:szCs w:val="28"/>
        </w:rPr>
        <w:t>Постановление Правительства Брянской области от 17 марта 2020 г. N 106-п "О введении режима повышенной готовности на территории Брянской области"</w:t>
      </w:r>
      <w:r w:rsidR="00AA6BDE">
        <w:rPr>
          <w:color w:val="000000"/>
          <w:sz w:val="28"/>
          <w:szCs w:val="28"/>
        </w:rPr>
        <w:t xml:space="preserve"> </w:t>
      </w:r>
      <w:r w:rsidRPr="00AA6BDE">
        <w:rPr>
          <w:sz w:val="28"/>
          <w:szCs w:val="28"/>
        </w:rPr>
        <w:t>испо</w:t>
      </w:r>
      <w:r>
        <w:rPr>
          <w:sz w:val="28"/>
          <w:szCs w:val="28"/>
        </w:rPr>
        <w:t xml:space="preserve">льзовались дистанционные формы и методы </w:t>
      </w:r>
      <w:r>
        <w:rPr>
          <w:sz w:val="28"/>
          <w:szCs w:val="28"/>
        </w:rPr>
        <w:lastRenderedPageBreak/>
        <w:t>профилактики нарушений лицензионных требований, электронные средства взаимодействия.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период особо внимание обращено на разъяснение дополнительных требований к деятельности управляющих организаций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ицензиатов в сложившейся санитарно-эпидемиологической обстановке, предпринимались меры к обеспечению выполнения требований, направленных на стабилизацию и улучшение эпидемиологической обстановки.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профилактики нарушений в части незаконного представления платежных документов на оплату жилищно-коммунальных услуг на официальной сайте ежемесячно публикуется информация о внесении изменений в реестр лицензий Воронежской области, позволяющая собственникам помещений своевременно получать сведения об изменении способа управления многоквартирными домами и (или) управляющей организации.</w:t>
      </w:r>
      <w:proofErr w:type="gramEnd"/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 причинения вреда (ущерба) охраняемым законом ценностям может быть обеспечено за счет информированности о лицензионных требованиях и мотивации к добросовестному поведению юридических лиц, индивидуальных предпринимателей и граждан в сфере жилищных отношений.</w:t>
      </w:r>
    </w:p>
    <w:p w:rsidR="00AC45E1" w:rsidRDefault="00AC45E1">
      <w:pPr>
        <w:spacing w:line="360" w:lineRule="auto"/>
        <w:ind w:firstLine="708"/>
        <w:jc w:val="both"/>
        <w:rPr>
          <w:sz w:val="28"/>
          <w:szCs w:val="28"/>
        </w:rPr>
      </w:pPr>
    </w:p>
    <w:p w:rsidR="00AC45E1" w:rsidRDefault="00E219A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 профилактики</w:t>
      </w:r>
    </w:p>
    <w:p w:rsidR="00AC45E1" w:rsidRDefault="00AC45E1">
      <w:pPr>
        <w:spacing w:line="360" w:lineRule="auto"/>
        <w:ind w:firstLine="708"/>
        <w:jc w:val="center"/>
        <w:rPr>
          <w:sz w:val="28"/>
          <w:szCs w:val="28"/>
        </w:rPr>
      </w:pP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предотвращение возникновения рисков причинения вреда (ущерба) охраняемым законом ценностям вследствие нарушения лицензионных требований законодательства при осуществлении предпринимательской деятельности по управлению многоквартирными домами;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административной нагрузки на юридических лиц и индивидуальных предпринимателей;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причин и условий, способствующих нарушению лицензионных требований и возникновению рисков причинения вреда (ущерба) охраняемым законом ценностям в сфере осуществления предпринимательской деятельности по управлению многоквартирными домами;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 результативности осуществления регионального государственного лицензионного контроля.</w:t>
      </w:r>
    </w:p>
    <w:p w:rsidR="00AC45E1" w:rsidRDefault="00E219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являются: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причин, факторов и условий, способствующих возникновению рисков причинения вреда (ущерба) в результате нарушения лицензионных требований, установленных жилищным законодательством, законодательством об энергосбережении и о повышении энергетической эффективности;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контролируемых лиц единого понимания лицензионных требований, нарушение которых влечет возникновение рисков причинения вреда (ущерба), повышение их информированности о способах соблюдения лицензионных требований и устранения рисков причинения вреда (ущерба) охраняемым законом ценностям;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и внедрение новых форм взаимодействия с контролируемыми субъектами;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является приоритетным по отношению к проведению контрольных мероприятий.</w:t>
      </w:r>
    </w:p>
    <w:p w:rsidR="00AC45E1" w:rsidRDefault="00AC45E1">
      <w:pPr>
        <w:spacing w:line="360" w:lineRule="auto"/>
        <w:rPr>
          <w:sz w:val="28"/>
          <w:szCs w:val="28"/>
        </w:rPr>
      </w:pPr>
    </w:p>
    <w:p w:rsidR="00AC45E1" w:rsidRDefault="00E21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AC45E1" w:rsidRDefault="00E21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AC45E1" w:rsidRDefault="00AC45E1">
      <w:pPr>
        <w:spacing w:line="360" w:lineRule="auto"/>
        <w:rPr>
          <w:sz w:val="28"/>
          <w:szCs w:val="28"/>
        </w:rPr>
      </w:pP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профилактических мероприятий определяется в соответствии с главой 10 Федеральным законом от 31.07.2020 № 248-ФЗ «О государственном контроле (надзоре) и муниципальном контроле»: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Информирование контролируемых лиц и иных заинтересованных лиц по вопросам соблюдения лицензионных требований осуществляется посредством размещения соответствующих сведений на официальном сайте инспекции в сети Интернет,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информирования подлежат размещению и поддерживаются в актуальном состоянии на официальном сайте инспекции в сети "Интернет": тексты нормативных правовых актов, регулирующих осуществление регионального государственного лицензионного контроля; сведения об изменениях, внесенных в нормативные правовые акты, регулирующие осуществление регионального государственного лицензионного контроля, о сроках и порядке их вступления в силу; </w:t>
      </w:r>
      <w:proofErr w:type="gramStart"/>
      <w:r>
        <w:rPr>
          <w:sz w:val="28"/>
          <w:szCs w:val="28"/>
        </w:rPr>
        <w:t>перечень нормативных правовых актов с указанием структурных единиц этих актов, содержащих лицензионные требования, оценка соблюдения которых является предметом регионального государственного лицензионного контроля, а также информация о мерах ответственности, применяемых при нарушении обязательных требований, с текстами в действующей редакции; руководства по соблюдению лицензионных требований, разработанные и утвержденные в соответствии с действующим законодательством;</w:t>
      </w:r>
      <w:proofErr w:type="gramEnd"/>
      <w:r>
        <w:rPr>
          <w:sz w:val="28"/>
          <w:szCs w:val="28"/>
        </w:rPr>
        <w:t xml:space="preserve"> перечень индикаторов риска нарушения лицензионных требований, порядок отнесения объектов контроля к категориям риска; перечень объектов надзора, учитываемых в рамках формирования ежегодного плана контрольных мероприятий, с указанием категории риска; программа профилактики рисков причинения вреда и план проведения плановых контрольных мероприятий инспекцией; исчерпывающий перечень сведений, которые могут запрашиваться </w:t>
      </w:r>
      <w:r>
        <w:rPr>
          <w:sz w:val="28"/>
          <w:szCs w:val="28"/>
        </w:rPr>
        <w:lastRenderedPageBreak/>
        <w:t xml:space="preserve">инспекцией у контролируемого лица; </w:t>
      </w:r>
      <w:proofErr w:type="gramStart"/>
      <w:r>
        <w:rPr>
          <w:sz w:val="28"/>
          <w:szCs w:val="28"/>
        </w:rPr>
        <w:t>сведения о способах получения консультаций по вопросам соблюдения лицензионных требований; сведения о применении инспекцией мер стимулирования добросовестности контролируемых лиц (при наличии);</w:t>
      </w:r>
      <w:r>
        <w:t xml:space="preserve"> </w:t>
      </w:r>
      <w:r>
        <w:rPr>
          <w:sz w:val="28"/>
          <w:szCs w:val="28"/>
        </w:rPr>
        <w:t>сведения о порядке досудебного обжалования решений инспекции, действий (бездействия) её должностных лиц; доклады, содержащие результаты обобщения правоприменительной практики инспекции; доклады о региональном государственном лицензионном контроле; иные сведения, предусмотренные нормативными правовыми актами Российской Федерации, нормативными правовыми актами Воронежской области.</w:t>
      </w:r>
      <w:proofErr w:type="gramEnd"/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 актуализация указанной информации производится по мере необходимости, в части размещения нормативных правовых актов и сведений о них - в течение 15 календарных дней со дня их официального опубликования.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осуще</w:t>
      </w:r>
      <w:r w:rsidR="00AA6BDE">
        <w:rPr>
          <w:sz w:val="28"/>
          <w:szCs w:val="28"/>
        </w:rPr>
        <w:t>ствление информирования является</w:t>
      </w:r>
      <w:r>
        <w:rPr>
          <w:sz w:val="28"/>
          <w:szCs w:val="28"/>
        </w:rPr>
        <w:t xml:space="preserve"> отдел </w:t>
      </w:r>
      <w:r w:rsidR="00AA6BDE">
        <w:rPr>
          <w:sz w:val="28"/>
          <w:szCs w:val="28"/>
        </w:rPr>
        <w:t>контроля фонда капитального ремонта, финансовой деятельности, кадровой и информационно-аналитической работы.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Обобщение правоприменительной практики.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1) обеспечение единообразных подходов к применению инспекц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должностными лицами лицензионных требований, законодательства Российской Федерации о государственном контроле (надзоре);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2) выявление типичных нарушений лицензионных требований, причин, факторов и условий, способствующих возникновению указанных нарушений;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4) подготовка предложений об актуализации лицензионных требований;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>5) подготовка предложений о внесении изменений в законодательство Российской Федерации о государственном контроле (надзоре).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обобщения правоприменительной практики ежегодно осуществляется подготовка доклада в срок не позднее 1 апреля календарного года, следующего за календарным годом, по итогам которого проведено обобщение.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 о правоприменительной практики подлежит публичному обсуждению.</w:t>
      </w:r>
      <w:proofErr w:type="gramEnd"/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 за обобщение и подготовку доклада о правоприменительной практики являются:</w:t>
      </w:r>
      <w:proofErr w:type="gramEnd"/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исполнитель </w:t>
      </w:r>
      <w:r w:rsidR="00AA6B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6BDE">
        <w:rPr>
          <w:sz w:val="28"/>
          <w:szCs w:val="28"/>
        </w:rPr>
        <w:t>лицензирования, ведения реестров и административного производства</w:t>
      </w:r>
      <w:r>
        <w:rPr>
          <w:sz w:val="28"/>
          <w:szCs w:val="28"/>
        </w:rPr>
        <w:t>,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соисполнители: </w:t>
      </w:r>
      <w:r w:rsidR="00AA6BDE">
        <w:rPr>
          <w:sz w:val="28"/>
          <w:szCs w:val="28"/>
        </w:rPr>
        <w:t>отдел инспекционной работы, надзора и мониторинга жилищного фонда, отдел надзора (контроля) за соблюдением законодательства в сфере ЖКХ, начислением платы за коммунальные услуги и правового обеспечения, отдел контроля фонда капитального ремонта, финансовой деятельности, кадровой и информационно-аналитической работы</w:t>
      </w:r>
      <w:r w:rsidR="00776EFA">
        <w:rPr>
          <w:sz w:val="28"/>
          <w:szCs w:val="28"/>
        </w:rPr>
        <w:t>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Объявление предостережения</w:t>
      </w:r>
    </w:p>
    <w:p w:rsidR="00AC45E1" w:rsidRDefault="00E219A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случае наличия у </w:t>
      </w:r>
      <w:r w:rsidR="00E1133E">
        <w:rPr>
          <w:sz w:val="28"/>
        </w:rPr>
        <w:t>инспекции сведений о возможных</w:t>
      </w:r>
      <w:r>
        <w:rPr>
          <w:sz w:val="28"/>
        </w:rPr>
        <w:t xml:space="preserve">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инспекция в порядке, предусмотренном Федеральным законом «О государственном контроле (надзоре) и муниципальном контроле в Российской Федерации</w:t>
      </w:r>
      <w:proofErr w:type="gramEnd"/>
      <w:r>
        <w:rPr>
          <w:sz w:val="28"/>
        </w:rPr>
        <w:t>» объявляет и направляет поднадзорному лицу предостережение о недопустимости нарушения обязательных требований и предлагает принять меры по обеспечению соблюдения лицензионных требований</w:t>
      </w:r>
      <w:r>
        <w:rPr>
          <w:sz w:val="28"/>
          <w:szCs w:val="28"/>
        </w:rPr>
        <w:t>.</w:t>
      </w:r>
    </w:p>
    <w:p w:rsidR="00AC45E1" w:rsidRDefault="00E21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Периодичности выдачи предостережений - по мере необходимости в случае выявления предусмотренных законодательством оснований.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Ответственными за объявление предост</w:t>
      </w:r>
      <w:r w:rsidR="00776EFA">
        <w:rPr>
          <w:sz w:val="28"/>
          <w:szCs w:val="28"/>
        </w:rPr>
        <w:t>ережений являются: отдел инспекционной работы, надзора и мониторинга жилищного фонда, отдел надзора (контроля) за соблюдением законодательства в сфере ЖКХ, начислением платы за коммунальные услуги и правового обеспечения, отдел контроля фонда капитального ремонта, финансовой деятельности, кадровой и информационно-аналитической работы, отдел лицензирования, ведения реестров и административного производства.</w:t>
      </w:r>
    </w:p>
    <w:p w:rsidR="00AC45E1" w:rsidRDefault="00E21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Консультирование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По обращениям контролируемых лиц и их представителей должностные лица инспекции осуществляют консультирование - дают разъяснения по вопросам, связанным с организацией и осуществлением регионального государственного лицензионного контроля. Консультирование осуществляется без взимания платы.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надзорного мероприятия, </w:t>
      </w:r>
      <w:r>
        <w:rPr>
          <w:rFonts w:eastAsia="Calibri"/>
          <w:sz w:val="28"/>
        </w:rPr>
        <w:t>а также в письменной форме.</w:t>
      </w:r>
    </w:p>
    <w:p w:rsidR="00AC45E1" w:rsidRDefault="00E219A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t>Консультирование, в том числе письменное, осуществляется по следующим вопросам:</w:t>
      </w:r>
    </w:p>
    <w:p w:rsidR="00AC45E1" w:rsidRDefault="00E219A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t>- разъяснение положений нормативных правовых актов, содержащих лицензионные требования, оценка соблюдения которых осуществляется в рамках регионального государственного лицензионного контроля;</w:t>
      </w:r>
    </w:p>
    <w:p w:rsidR="00AC45E1" w:rsidRDefault="00E1133E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t>- </w:t>
      </w:r>
      <w:r w:rsidR="00E219A0">
        <w:rPr>
          <w:rFonts w:eastAsia="Calibri"/>
          <w:sz w:val="28"/>
        </w:rPr>
        <w:t>разъяснение положений нормативных правовых актов, регламентирующих порядок осуществления регионального государственного лицензионного контроля;</w:t>
      </w:r>
    </w:p>
    <w:p w:rsidR="00AC45E1" w:rsidRDefault="00E219A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t>- порядок обжалования решений и действий (бездействия) инспекц</w:t>
      </w:r>
      <w:proofErr w:type="gramStart"/>
      <w:r>
        <w:rPr>
          <w:rFonts w:eastAsia="Calibri"/>
          <w:sz w:val="28"/>
        </w:rPr>
        <w:t>ии и её</w:t>
      </w:r>
      <w:proofErr w:type="gramEnd"/>
      <w:r>
        <w:rPr>
          <w:rFonts w:eastAsia="Calibri"/>
          <w:sz w:val="28"/>
        </w:rPr>
        <w:t xml:space="preserve"> должностных лиц при осуществлении регионального государственного лицензионного контроля.</w:t>
      </w:r>
    </w:p>
    <w:p w:rsidR="00AC45E1" w:rsidRDefault="00E219A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lastRenderedPageBreak/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инспекции в сети Интернет.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года № 59-ФЗ "О порядке рассмотрения обращений граждан Российской Федерации".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При осуществлении консультирования должностное лицо инспекции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надзорного мероприятия, решений и (или) действий должностных лиц инспекции, иных участников надзорного мероприятия, а также результаты проведенных в рамках надзорного мероприятия экспертизы, испытаний.</w:t>
      </w:r>
    </w:p>
    <w:p w:rsidR="00AC45E1" w:rsidRDefault="00E219A0">
      <w:pPr>
        <w:tabs>
          <w:tab w:val="left" w:pos="632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полученная инспекцией в ходе консультирования, не может использоваться инспекцией в целях оценки контролируемого лица по вопросам соблюдения лицензионных требований.</w:t>
      </w:r>
    </w:p>
    <w:p w:rsidR="00AC45E1" w:rsidRDefault="00E219A0" w:rsidP="00776EFA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Ответственными за консультирование являются: </w:t>
      </w:r>
      <w:r w:rsidR="00776EFA">
        <w:rPr>
          <w:sz w:val="28"/>
          <w:szCs w:val="28"/>
        </w:rPr>
        <w:t>отдел инспекционной работы, надзора и мониторинга жилищного фонда, отдел надзора (контроля) за соблюдением законодательства в сфере ЖКХ, начислением платы за коммунальные услуги и правового обеспечения, отдел контроля фонда капитального ремонта, финансовой деятельности, кадровой и информационно-аналитической работы, отдел лицензирования, ведения реестров и административного производства.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в сети "Интернет" письменного разъяснения, подписанного </w:t>
      </w:r>
      <w:r w:rsidR="00776EFA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, заместителем </w:t>
      </w:r>
      <w:r w:rsidR="00776EFA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или начальником отдела инспекции.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>Инспекция осуществляют учет консультирований.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мере необходимости в соответствии с поступающими запросами, письменное консультирование производится не позднее 10 дней со дня поступления запроса о предоставлении разъяснения.</w:t>
      </w:r>
    </w:p>
    <w:p w:rsidR="00AC45E1" w:rsidRDefault="00E219A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C45E1" w:rsidRDefault="00E219A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t>Обязательный профилактический визит проводится в отношении контролируемых лиц, приступающих к осуществлению деятельности по управлению многоквартирными домами, а также в отношении объектов надзора, отнесенных к категории высокого риска.</w:t>
      </w:r>
    </w:p>
    <w:p w:rsidR="00AC45E1" w:rsidRDefault="00E219A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Сроки проведения обязательного профилактического визита - не позднее 30 рабочих дней со дня начала контролируемым лицом деятельности по управлению многоквартирными домами или со дня отнесения его к категории высокого риска.</w:t>
      </w:r>
    </w:p>
    <w:p w:rsidR="00AC45E1" w:rsidRDefault="00E219A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последующих 12 месяцев со дня проведения первого профилактического визита в отношении контролируемого лица, приступившего к осуществлению деятельности по управлению многоквартирными домами или отнесенного к категории высокого риска</w:t>
      </w:r>
      <w:r w:rsidR="00FF2C4E">
        <w:rPr>
          <w:sz w:val="28"/>
        </w:rPr>
        <w:t>,</w:t>
      </w:r>
      <w:r>
        <w:rPr>
          <w:sz w:val="28"/>
        </w:rPr>
        <w:t xml:space="preserve"> обязательные профилактические визиты проводятся в отношении данного контролируемого лица один раз в три месяца.</w:t>
      </w:r>
    </w:p>
    <w:p w:rsidR="00AC45E1" w:rsidRDefault="00E219A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Профилактические визиты могут осуществляться в отношении контролируемых субъектов, относящихся к категориям среднего и низкого риска по решению руководителя (заместителя руководителя) инспекции по результатам анализа исполнения указанными субъектами лицензионных требований.</w:t>
      </w:r>
    </w:p>
    <w:p w:rsidR="00AC45E1" w:rsidRDefault="00E219A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течение квартала в отношении одного поднадзорного субъекта не может быть проведено более одного профилактического визита.</w:t>
      </w:r>
    </w:p>
    <w:p w:rsidR="00776EFA" w:rsidRDefault="00E219A0" w:rsidP="00776EFA">
      <w:pPr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Ответственными за проведение профилактических визитов являются: </w:t>
      </w:r>
      <w:r w:rsidR="00776EFA">
        <w:rPr>
          <w:sz w:val="28"/>
          <w:szCs w:val="28"/>
        </w:rPr>
        <w:t>отдел инспекционной работы, надзора и мониторинга жилищного фонда, отдел надзора (контроля) за соблюдением законодательства в сфере ЖКХ, начислением платы за коммунальные услуги и правового обеспечения, отдел контроля фонда капитального ремонта, финансовой деятельности, кадровой и информационно-аналитической работы, отдел лицензирования, ведения реестров и административного производства.</w:t>
      </w:r>
    </w:p>
    <w:p w:rsidR="00AC45E1" w:rsidRDefault="00AC45E1">
      <w:pPr>
        <w:spacing w:line="360" w:lineRule="auto"/>
        <w:ind w:firstLine="708"/>
        <w:jc w:val="both"/>
        <w:rPr>
          <w:sz w:val="28"/>
        </w:rPr>
      </w:pPr>
    </w:p>
    <w:p w:rsidR="00AC45E1" w:rsidRDefault="00E219A0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Показатели результативности и эффективности </w:t>
      </w:r>
    </w:p>
    <w:p w:rsidR="00AC45E1" w:rsidRDefault="00E219A0">
      <w:pPr>
        <w:spacing w:line="276" w:lineRule="auto"/>
        <w:ind w:firstLine="709"/>
        <w:jc w:val="center"/>
        <w:rPr>
          <w:sz w:val="28"/>
        </w:rPr>
      </w:pPr>
      <w:r>
        <w:rPr>
          <w:sz w:val="28"/>
          <w:szCs w:val="28"/>
        </w:rPr>
        <w:t>программы профилактики</w:t>
      </w:r>
    </w:p>
    <w:p w:rsidR="00AC45E1" w:rsidRDefault="00AC45E1">
      <w:pPr>
        <w:spacing w:line="360" w:lineRule="auto"/>
        <w:jc w:val="both"/>
        <w:rPr>
          <w:sz w:val="28"/>
        </w:rPr>
      </w:pP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>Перечень показателей результативности и эффективности программы профилактики:</w:t>
      </w:r>
    </w:p>
    <w:p w:rsidR="00AC45E1" w:rsidRDefault="00E21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Соотношение количества профилактических мероприятий к количеству проведенных контрольных мероприятий.</w:t>
      </w:r>
      <w:r>
        <w:rPr>
          <w:sz w:val="28"/>
          <w:szCs w:val="28"/>
        </w:rPr>
        <w:tab/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по формуле: В = Х/У*100%, где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- расчетное значение показателя, Х - количество проведенных за соответствующий календарный год профилактических мероприятий, У - количество проведенных за соответствующий календарный год контрольных мероприятий.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показателя: более 50% - 5 балло</w:t>
      </w:r>
      <w:r w:rsidR="00FF2C4E">
        <w:rPr>
          <w:sz w:val="28"/>
          <w:szCs w:val="28"/>
        </w:rPr>
        <w:t>в, 30-50% - 3 балла, 10-29% - 1 </w:t>
      </w:r>
      <w:r>
        <w:rPr>
          <w:sz w:val="28"/>
          <w:szCs w:val="28"/>
        </w:rPr>
        <w:t>балл, менее 10% - 0 баллов.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Доля контролируемых лиц, охваченных профилактическими визитами.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Показатель рассчитывается по формуле: С = Х/У*100%, 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расчетное значение показателя, Х - количество контролируемых лиц, охваченных профилактическими визитами, У - общее количество всех контролируемых лиц.</w:t>
      </w:r>
    </w:p>
    <w:p w:rsidR="00AC45E1" w:rsidRDefault="00E219A0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Значение показателя: более 30% - 5 балл</w:t>
      </w:r>
      <w:r w:rsidR="00FF2C4E">
        <w:rPr>
          <w:sz w:val="28"/>
          <w:szCs w:val="28"/>
        </w:rPr>
        <w:t>ов, 15-30% - 3 балла, 5-14% - 1 </w:t>
      </w:r>
      <w:r>
        <w:rPr>
          <w:sz w:val="28"/>
          <w:szCs w:val="28"/>
        </w:rPr>
        <w:t>балл, менее 5% - 0 баллов.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Соотношение количества контролируемых лиц, которым были объявлены предостережения о недопустимости нарушения лицензионных требований и в отношении которых проведены контрольные мероприятия, к общему количеству контролируемых лиц, в отношении которых проведены контрольные мероприятия.</w:t>
      </w:r>
      <w:proofErr w:type="gramEnd"/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Показатель рассчитывается по формуле: Д = Х/У*100%, где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- расчетное значение показателя, Х - количество контролируемых лиц, которым были объявлены предостережения о недопустимости нарушения лицензионных требований и в отношении которых проведены контрольные мероприятия в соответствующем календарном году, У - общее количество контролируемых лиц, в отношении которых проведены контрольные мероприятия в соответствующем календарном году.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Значение показателя: более 30% - 5 балл</w:t>
      </w:r>
      <w:r w:rsidR="00FF2C4E">
        <w:rPr>
          <w:sz w:val="28"/>
          <w:szCs w:val="28"/>
        </w:rPr>
        <w:t>ов, 15-30% - 3 балла, 5-14% - 1 </w:t>
      </w:r>
      <w:r>
        <w:rPr>
          <w:sz w:val="28"/>
          <w:szCs w:val="28"/>
        </w:rPr>
        <w:t>балл, менее 5% - 0 баллов.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4. Доля количества устраненных нарушений лицензионных требований, выявленных при проведении профилактических мероприятий, к общему количеству устраненных нарушений лицензионных требований.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Показатель рассчитывается по формуле: Е = Х/У*100%, где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- расчетное значение показателя, Х - количество устраненных нарушений лицензионных требований, выявленных при проведении профилактических мероприятий, У - общее количество устраненных нарушений лицензионных требований.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Значение показателя: более 30% - 5 баллов, 15-30% </w:t>
      </w:r>
      <w:r w:rsidR="00FF2C4E">
        <w:rPr>
          <w:sz w:val="28"/>
          <w:szCs w:val="28"/>
        </w:rPr>
        <w:t>- 3 балла, 5-14% - 1 </w:t>
      </w:r>
      <w:r>
        <w:rPr>
          <w:sz w:val="28"/>
          <w:szCs w:val="28"/>
        </w:rPr>
        <w:t>балл, менее 5% - 0 баллов.</w:t>
      </w:r>
    </w:p>
    <w:p w:rsidR="00AC45E1" w:rsidRDefault="00E219A0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5. Соотношение профилактических визитов в отношении контролируемых лиц с количеством проведенных выездных проверок контролируемых лиц за соответствующий календарный год.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Показатель рассчитывается по формуле: Н = Х/У*100%, где Н - расчетное значение показателя, Х - количество контролируемых лиц, </w:t>
      </w:r>
      <w:r>
        <w:rPr>
          <w:sz w:val="28"/>
          <w:szCs w:val="28"/>
        </w:rPr>
        <w:lastRenderedPageBreak/>
        <w:t>охваченных профилактическими визитами, У - общее количество проведенных выездных проверок.</w:t>
      </w:r>
    </w:p>
    <w:p w:rsidR="00AC45E1" w:rsidRDefault="00E219A0">
      <w:pPr>
        <w:spacing w:line="360" w:lineRule="auto"/>
        <w:ind w:firstLine="708"/>
        <w:jc w:val="both"/>
      </w:pPr>
      <w:r>
        <w:rPr>
          <w:sz w:val="28"/>
          <w:szCs w:val="28"/>
        </w:rPr>
        <w:t>Значение показателя: более 30% - 5 балл</w:t>
      </w:r>
      <w:r w:rsidR="00FF2C4E">
        <w:rPr>
          <w:sz w:val="28"/>
          <w:szCs w:val="28"/>
        </w:rPr>
        <w:t>ов, 15-30% - 3 балла, 5-14% - 1 </w:t>
      </w:r>
      <w:bookmarkStart w:id="0" w:name="_GoBack"/>
      <w:bookmarkEnd w:id="0"/>
      <w:r>
        <w:rPr>
          <w:sz w:val="28"/>
          <w:szCs w:val="28"/>
        </w:rPr>
        <w:t>балл, менее 5% - 0 баллов.</w:t>
      </w:r>
    </w:p>
    <w:p w:rsidR="00AC45E1" w:rsidRDefault="00E219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 считается успешно реализованной при значении суммарного показателя эффективности 20-25 баллов.</w:t>
      </w:r>
    </w:p>
    <w:sectPr w:rsidR="00AC45E1" w:rsidSect="00AC4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2C" w:rsidRDefault="00FD3B2C">
      <w:r>
        <w:separator/>
      </w:r>
    </w:p>
  </w:endnote>
  <w:endnote w:type="continuationSeparator" w:id="0">
    <w:p w:rsidR="00FD3B2C" w:rsidRDefault="00FD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E1" w:rsidRDefault="00AC45E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E1" w:rsidRDefault="00AC45E1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E1" w:rsidRDefault="00AC45E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2C" w:rsidRDefault="00FD3B2C">
      <w:r>
        <w:separator/>
      </w:r>
    </w:p>
  </w:footnote>
  <w:footnote w:type="continuationSeparator" w:id="0">
    <w:p w:rsidR="00FD3B2C" w:rsidRDefault="00FD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E1" w:rsidRDefault="00AC45E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E1" w:rsidRDefault="0054637E">
    <w:pPr>
      <w:pStyle w:val="12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45E1" w:rsidRDefault="00AC45E1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E1" w:rsidRDefault="00AC45E1">
    <w:pPr>
      <w:pStyle w:val="af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86"/>
    <w:multiLevelType w:val="hybridMultilevel"/>
    <w:tmpl w:val="E7EC070C"/>
    <w:lvl w:ilvl="0" w:tplc="B3A43C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7C6AB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CCF3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4B456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07EA2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0BC6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10639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DD4D2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CC08B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59431EC"/>
    <w:multiLevelType w:val="hybridMultilevel"/>
    <w:tmpl w:val="B08C778C"/>
    <w:lvl w:ilvl="0" w:tplc="CF4AE84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C202768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DC3A32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CDDAA5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8566A5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42F2D2E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6066A59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03309FF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74BA693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>
    <w:nsid w:val="0B172906"/>
    <w:multiLevelType w:val="hybridMultilevel"/>
    <w:tmpl w:val="FDA42E8E"/>
    <w:lvl w:ilvl="0" w:tplc="850EE54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6185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B4E93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DAC3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F36B2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E725F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5E801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C880B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98E7B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EFC1DD8"/>
    <w:multiLevelType w:val="hybridMultilevel"/>
    <w:tmpl w:val="4898801E"/>
    <w:lvl w:ilvl="0" w:tplc="792E6AD6">
      <w:start w:val="1"/>
      <w:numFmt w:val="decimal"/>
      <w:lvlText w:val="%1."/>
      <w:lvlJc w:val="left"/>
    </w:lvl>
    <w:lvl w:ilvl="1" w:tplc="F4587A18">
      <w:start w:val="1"/>
      <w:numFmt w:val="lowerLetter"/>
      <w:lvlText w:val="%2."/>
      <w:lvlJc w:val="left"/>
      <w:pPr>
        <w:ind w:left="1440" w:hanging="360"/>
      </w:pPr>
    </w:lvl>
    <w:lvl w:ilvl="2" w:tplc="7B362F36">
      <w:start w:val="1"/>
      <w:numFmt w:val="lowerRoman"/>
      <w:lvlText w:val="%3."/>
      <w:lvlJc w:val="right"/>
      <w:pPr>
        <w:ind w:left="2160" w:hanging="180"/>
      </w:pPr>
    </w:lvl>
    <w:lvl w:ilvl="3" w:tplc="9746D3CA">
      <w:start w:val="1"/>
      <w:numFmt w:val="decimal"/>
      <w:lvlText w:val="%4."/>
      <w:lvlJc w:val="left"/>
      <w:pPr>
        <w:ind w:left="2880" w:hanging="360"/>
      </w:pPr>
    </w:lvl>
    <w:lvl w:ilvl="4" w:tplc="7CF8B934">
      <w:start w:val="1"/>
      <w:numFmt w:val="lowerLetter"/>
      <w:lvlText w:val="%5."/>
      <w:lvlJc w:val="left"/>
      <w:pPr>
        <w:ind w:left="3600" w:hanging="360"/>
      </w:pPr>
    </w:lvl>
    <w:lvl w:ilvl="5" w:tplc="7B3E7FBA">
      <w:start w:val="1"/>
      <w:numFmt w:val="lowerRoman"/>
      <w:lvlText w:val="%6."/>
      <w:lvlJc w:val="right"/>
      <w:pPr>
        <w:ind w:left="4320" w:hanging="180"/>
      </w:pPr>
    </w:lvl>
    <w:lvl w:ilvl="6" w:tplc="78FCFDE4">
      <w:start w:val="1"/>
      <w:numFmt w:val="decimal"/>
      <w:lvlText w:val="%7."/>
      <w:lvlJc w:val="left"/>
      <w:pPr>
        <w:ind w:left="5040" w:hanging="360"/>
      </w:pPr>
    </w:lvl>
    <w:lvl w:ilvl="7" w:tplc="D2D01E3C">
      <w:start w:val="1"/>
      <w:numFmt w:val="lowerLetter"/>
      <w:lvlText w:val="%8."/>
      <w:lvlJc w:val="left"/>
      <w:pPr>
        <w:ind w:left="5760" w:hanging="360"/>
      </w:pPr>
    </w:lvl>
    <w:lvl w:ilvl="8" w:tplc="499A210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4D1C"/>
    <w:multiLevelType w:val="hybridMultilevel"/>
    <w:tmpl w:val="DEA4B898"/>
    <w:lvl w:ilvl="0" w:tplc="53F68B0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94E22F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7EA61D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EB82961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A427F0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C8EA68E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004E46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8D8E04C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63E7DC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>
    <w:nsid w:val="1441350F"/>
    <w:multiLevelType w:val="hybridMultilevel"/>
    <w:tmpl w:val="6852844E"/>
    <w:lvl w:ilvl="0" w:tplc="3DCE94A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516F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33840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86A62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C678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BE2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6EE90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DBA22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FA453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9546AD1"/>
    <w:multiLevelType w:val="hybridMultilevel"/>
    <w:tmpl w:val="2708D5C6"/>
    <w:lvl w:ilvl="0" w:tplc="B03A48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85E6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2AE8B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94E9C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B2672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6EAE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B22B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4C87C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90A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2A303E1D"/>
    <w:multiLevelType w:val="hybridMultilevel"/>
    <w:tmpl w:val="5538B0F0"/>
    <w:lvl w:ilvl="0" w:tplc="63BC80C4">
      <w:start w:val="1"/>
      <w:numFmt w:val="decimal"/>
      <w:lvlText w:val="%1."/>
      <w:lvlJc w:val="left"/>
    </w:lvl>
    <w:lvl w:ilvl="1" w:tplc="5C744536">
      <w:start w:val="1"/>
      <w:numFmt w:val="lowerLetter"/>
      <w:lvlText w:val="%2."/>
      <w:lvlJc w:val="left"/>
      <w:pPr>
        <w:ind w:left="1440" w:hanging="360"/>
      </w:pPr>
    </w:lvl>
    <w:lvl w:ilvl="2" w:tplc="992CA022">
      <w:start w:val="1"/>
      <w:numFmt w:val="lowerRoman"/>
      <w:lvlText w:val="%3."/>
      <w:lvlJc w:val="right"/>
      <w:pPr>
        <w:ind w:left="2160" w:hanging="180"/>
      </w:pPr>
    </w:lvl>
    <w:lvl w:ilvl="3" w:tplc="D572F8BA">
      <w:start w:val="1"/>
      <w:numFmt w:val="decimal"/>
      <w:lvlText w:val="%4."/>
      <w:lvlJc w:val="left"/>
      <w:pPr>
        <w:ind w:left="2880" w:hanging="360"/>
      </w:pPr>
    </w:lvl>
    <w:lvl w:ilvl="4" w:tplc="BBC06DD4">
      <w:start w:val="1"/>
      <w:numFmt w:val="lowerLetter"/>
      <w:lvlText w:val="%5."/>
      <w:lvlJc w:val="left"/>
      <w:pPr>
        <w:ind w:left="3600" w:hanging="360"/>
      </w:pPr>
    </w:lvl>
    <w:lvl w:ilvl="5" w:tplc="F1641BBA">
      <w:start w:val="1"/>
      <w:numFmt w:val="lowerRoman"/>
      <w:lvlText w:val="%6."/>
      <w:lvlJc w:val="right"/>
      <w:pPr>
        <w:ind w:left="4320" w:hanging="180"/>
      </w:pPr>
    </w:lvl>
    <w:lvl w:ilvl="6" w:tplc="0B4CC5A0">
      <w:start w:val="1"/>
      <w:numFmt w:val="decimal"/>
      <w:lvlText w:val="%7."/>
      <w:lvlJc w:val="left"/>
      <w:pPr>
        <w:ind w:left="5040" w:hanging="360"/>
      </w:pPr>
    </w:lvl>
    <w:lvl w:ilvl="7" w:tplc="36B8BB26">
      <w:start w:val="1"/>
      <w:numFmt w:val="lowerLetter"/>
      <w:lvlText w:val="%8."/>
      <w:lvlJc w:val="left"/>
      <w:pPr>
        <w:ind w:left="5760" w:hanging="360"/>
      </w:pPr>
    </w:lvl>
    <w:lvl w:ilvl="8" w:tplc="48100A1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1FD6"/>
    <w:multiLevelType w:val="hybridMultilevel"/>
    <w:tmpl w:val="33FE2558"/>
    <w:lvl w:ilvl="0" w:tplc="18B4086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1C20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194FB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FEC86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24A3D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C7864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7046E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2FCB4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52A3C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398C697C"/>
    <w:multiLevelType w:val="hybridMultilevel"/>
    <w:tmpl w:val="0C8CB600"/>
    <w:lvl w:ilvl="0" w:tplc="B4BAC920">
      <w:start w:val="1"/>
      <w:numFmt w:val="decimal"/>
      <w:lvlText w:val="%1."/>
      <w:lvlJc w:val="left"/>
    </w:lvl>
    <w:lvl w:ilvl="1" w:tplc="80BA0870">
      <w:start w:val="1"/>
      <w:numFmt w:val="lowerLetter"/>
      <w:lvlText w:val="%2."/>
      <w:lvlJc w:val="left"/>
      <w:pPr>
        <w:ind w:left="1440" w:hanging="360"/>
      </w:pPr>
    </w:lvl>
    <w:lvl w:ilvl="2" w:tplc="0E2AC5D6">
      <w:start w:val="1"/>
      <w:numFmt w:val="lowerRoman"/>
      <w:lvlText w:val="%3."/>
      <w:lvlJc w:val="right"/>
      <w:pPr>
        <w:ind w:left="2160" w:hanging="180"/>
      </w:pPr>
    </w:lvl>
    <w:lvl w:ilvl="3" w:tplc="1FE0361C">
      <w:start w:val="1"/>
      <w:numFmt w:val="decimal"/>
      <w:lvlText w:val="%4."/>
      <w:lvlJc w:val="left"/>
      <w:pPr>
        <w:ind w:left="2880" w:hanging="360"/>
      </w:pPr>
    </w:lvl>
    <w:lvl w:ilvl="4" w:tplc="538446EA">
      <w:start w:val="1"/>
      <w:numFmt w:val="lowerLetter"/>
      <w:lvlText w:val="%5."/>
      <w:lvlJc w:val="left"/>
      <w:pPr>
        <w:ind w:left="3600" w:hanging="360"/>
      </w:pPr>
    </w:lvl>
    <w:lvl w:ilvl="5" w:tplc="F34680D4">
      <w:start w:val="1"/>
      <w:numFmt w:val="lowerRoman"/>
      <w:lvlText w:val="%6."/>
      <w:lvlJc w:val="right"/>
      <w:pPr>
        <w:ind w:left="4320" w:hanging="180"/>
      </w:pPr>
    </w:lvl>
    <w:lvl w:ilvl="6" w:tplc="EC0ABBA2">
      <w:start w:val="1"/>
      <w:numFmt w:val="decimal"/>
      <w:lvlText w:val="%7."/>
      <w:lvlJc w:val="left"/>
      <w:pPr>
        <w:ind w:left="5040" w:hanging="360"/>
      </w:pPr>
    </w:lvl>
    <w:lvl w:ilvl="7" w:tplc="EB9C6334">
      <w:start w:val="1"/>
      <w:numFmt w:val="lowerLetter"/>
      <w:lvlText w:val="%8."/>
      <w:lvlJc w:val="left"/>
      <w:pPr>
        <w:ind w:left="5760" w:hanging="360"/>
      </w:pPr>
    </w:lvl>
    <w:lvl w:ilvl="8" w:tplc="15BC2DD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29C"/>
    <w:multiLevelType w:val="hybridMultilevel"/>
    <w:tmpl w:val="9D52C12E"/>
    <w:lvl w:ilvl="0" w:tplc="A468D2D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388B4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696D0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9B2EE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FA889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81617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06064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5FC07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4699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45E92DBD"/>
    <w:multiLevelType w:val="hybridMultilevel"/>
    <w:tmpl w:val="F416AECA"/>
    <w:lvl w:ilvl="0" w:tplc="2348C5A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6660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9A1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5068C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458B7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D8E8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F360F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B5ACC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3ECBE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477E76BD"/>
    <w:multiLevelType w:val="hybridMultilevel"/>
    <w:tmpl w:val="F544FB52"/>
    <w:lvl w:ilvl="0" w:tplc="1972719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1434742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BEA8C3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E50417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4B0ED9F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5336B17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2C62B0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3BD4B7C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A92C80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3">
    <w:nsid w:val="4A5B5C1E"/>
    <w:multiLevelType w:val="hybridMultilevel"/>
    <w:tmpl w:val="673A9A88"/>
    <w:lvl w:ilvl="0" w:tplc="F10E2820">
      <w:start w:val="1"/>
      <w:numFmt w:val="decimal"/>
      <w:lvlText w:val="%1."/>
      <w:lvlJc w:val="left"/>
    </w:lvl>
    <w:lvl w:ilvl="1" w:tplc="B4E2F26A">
      <w:start w:val="1"/>
      <w:numFmt w:val="lowerLetter"/>
      <w:lvlText w:val="%2."/>
      <w:lvlJc w:val="left"/>
      <w:pPr>
        <w:ind w:left="1440" w:hanging="360"/>
      </w:pPr>
    </w:lvl>
    <w:lvl w:ilvl="2" w:tplc="4CAEFE62">
      <w:start w:val="1"/>
      <w:numFmt w:val="lowerRoman"/>
      <w:lvlText w:val="%3."/>
      <w:lvlJc w:val="right"/>
      <w:pPr>
        <w:ind w:left="2160" w:hanging="180"/>
      </w:pPr>
    </w:lvl>
    <w:lvl w:ilvl="3" w:tplc="82F8CE6A">
      <w:start w:val="1"/>
      <w:numFmt w:val="decimal"/>
      <w:lvlText w:val="%4."/>
      <w:lvlJc w:val="left"/>
      <w:pPr>
        <w:ind w:left="2880" w:hanging="360"/>
      </w:pPr>
    </w:lvl>
    <w:lvl w:ilvl="4" w:tplc="5D7E32A2">
      <w:start w:val="1"/>
      <w:numFmt w:val="lowerLetter"/>
      <w:lvlText w:val="%5."/>
      <w:lvlJc w:val="left"/>
      <w:pPr>
        <w:ind w:left="3600" w:hanging="360"/>
      </w:pPr>
    </w:lvl>
    <w:lvl w:ilvl="5" w:tplc="E7EE5A42">
      <w:start w:val="1"/>
      <w:numFmt w:val="lowerRoman"/>
      <w:lvlText w:val="%6."/>
      <w:lvlJc w:val="right"/>
      <w:pPr>
        <w:ind w:left="4320" w:hanging="180"/>
      </w:pPr>
    </w:lvl>
    <w:lvl w:ilvl="6" w:tplc="2634E490">
      <w:start w:val="1"/>
      <w:numFmt w:val="decimal"/>
      <w:lvlText w:val="%7."/>
      <w:lvlJc w:val="left"/>
      <w:pPr>
        <w:ind w:left="5040" w:hanging="360"/>
      </w:pPr>
    </w:lvl>
    <w:lvl w:ilvl="7" w:tplc="14FC6B7A">
      <w:start w:val="1"/>
      <w:numFmt w:val="lowerLetter"/>
      <w:lvlText w:val="%8."/>
      <w:lvlJc w:val="left"/>
      <w:pPr>
        <w:ind w:left="5760" w:hanging="360"/>
      </w:pPr>
    </w:lvl>
    <w:lvl w:ilvl="8" w:tplc="C8EA4F7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F0A86"/>
    <w:multiLevelType w:val="hybridMultilevel"/>
    <w:tmpl w:val="E47CEDF6"/>
    <w:lvl w:ilvl="0" w:tplc="96664B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27A93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9011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E2030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DBC95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E225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8543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F46A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0E200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5B673E43"/>
    <w:multiLevelType w:val="hybridMultilevel"/>
    <w:tmpl w:val="9094F9E2"/>
    <w:lvl w:ilvl="0" w:tplc="FC3ACBCC">
      <w:start w:val="1"/>
      <w:numFmt w:val="decimal"/>
      <w:lvlText w:val="%1."/>
      <w:lvlJc w:val="left"/>
    </w:lvl>
    <w:lvl w:ilvl="1" w:tplc="CD747832">
      <w:start w:val="1"/>
      <w:numFmt w:val="lowerLetter"/>
      <w:lvlText w:val="%2."/>
      <w:lvlJc w:val="left"/>
      <w:pPr>
        <w:ind w:left="1440" w:hanging="360"/>
      </w:pPr>
    </w:lvl>
    <w:lvl w:ilvl="2" w:tplc="B596CDD2">
      <w:start w:val="1"/>
      <w:numFmt w:val="lowerRoman"/>
      <w:lvlText w:val="%3."/>
      <w:lvlJc w:val="right"/>
      <w:pPr>
        <w:ind w:left="2160" w:hanging="180"/>
      </w:pPr>
    </w:lvl>
    <w:lvl w:ilvl="3" w:tplc="A59A9CC6">
      <w:start w:val="1"/>
      <w:numFmt w:val="decimal"/>
      <w:lvlText w:val="%4."/>
      <w:lvlJc w:val="left"/>
      <w:pPr>
        <w:ind w:left="2880" w:hanging="360"/>
      </w:pPr>
    </w:lvl>
    <w:lvl w:ilvl="4" w:tplc="D7AEB920">
      <w:start w:val="1"/>
      <w:numFmt w:val="lowerLetter"/>
      <w:lvlText w:val="%5."/>
      <w:lvlJc w:val="left"/>
      <w:pPr>
        <w:ind w:left="3600" w:hanging="360"/>
      </w:pPr>
    </w:lvl>
    <w:lvl w:ilvl="5" w:tplc="A992C8CA">
      <w:start w:val="1"/>
      <w:numFmt w:val="lowerRoman"/>
      <w:lvlText w:val="%6."/>
      <w:lvlJc w:val="right"/>
      <w:pPr>
        <w:ind w:left="4320" w:hanging="180"/>
      </w:pPr>
    </w:lvl>
    <w:lvl w:ilvl="6" w:tplc="83F25086">
      <w:start w:val="1"/>
      <w:numFmt w:val="decimal"/>
      <w:lvlText w:val="%7."/>
      <w:lvlJc w:val="left"/>
      <w:pPr>
        <w:ind w:left="5040" w:hanging="360"/>
      </w:pPr>
    </w:lvl>
    <w:lvl w:ilvl="7" w:tplc="8682A378">
      <w:start w:val="1"/>
      <w:numFmt w:val="lowerLetter"/>
      <w:lvlText w:val="%8."/>
      <w:lvlJc w:val="left"/>
      <w:pPr>
        <w:ind w:left="5760" w:hanging="360"/>
      </w:pPr>
    </w:lvl>
    <w:lvl w:ilvl="8" w:tplc="9D2E6AD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52511"/>
    <w:multiLevelType w:val="hybridMultilevel"/>
    <w:tmpl w:val="5AA4E222"/>
    <w:lvl w:ilvl="0" w:tplc="E996BF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8063E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E9E79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E4078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FA477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4AC58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210FE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20C8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522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6FB82981"/>
    <w:multiLevelType w:val="hybridMultilevel"/>
    <w:tmpl w:val="D9B487FC"/>
    <w:lvl w:ilvl="0" w:tplc="64F6CE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742B3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5EAC3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76AA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7946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A4BE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C8E76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3925B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CE203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nsid w:val="76C52B6F"/>
    <w:multiLevelType w:val="hybridMultilevel"/>
    <w:tmpl w:val="F9E20064"/>
    <w:lvl w:ilvl="0" w:tplc="5D4A4EB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787E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C063C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96A9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10090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768E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6703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5E42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EC46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1"/>
  </w:num>
  <w:num w:numId="14">
    <w:abstractNumId w:val="18"/>
  </w:num>
  <w:num w:numId="15">
    <w:abstractNumId w:val="6"/>
  </w:num>
  <w:num w:numId="16">
    <w:abstractNumId w:val="12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5E1"/>
    <w:rsid w:val="00082EDF"/>
    <w:rsid w:val="00245FE1"/>
    <w:rsid w:val="0031262A"/>
    <w:rsid w:val="0054637E"/>
    <w:rsid w:val="00546962"/>
    <w:rsid w:val="006532D4"/>
    <w:rsid w:val="00776EFA"/>
    <w:rsid w:val="00875D3A"/>
    <w:rsid w:val="00AA6BDE"/>
    <w:rsid w:val="00AC45E1"/>
    <w:rsid w:val="00C95DA5"/>
    <w:rsid w:val="00DE2B58"/>
    <w:rsid w:val="00E1133E"/>
    <w:rsid w:val="00E219A0"/>
    <w:rsid w:val="00FD3B2C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E1"/>
  </w:style>
  <w:style w:type="paragraph" w:styleId="1">
    <w:name w:val="heading 1"/>
    <w:basedOn w:val="a"/>
    <w:next w:val="a"/>
    <w:link w:val="10"/>
    <w:uiPriority w:val="9"/>
    <w:qFormat/>
    <w:rsid w:val="00245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rsid w:val="00AC45E1"/>
    <w:pPr>
      <w:keepNext/>
      <w:jc w:val="center"/>
      <w:outlineLvl w:val="3"/>
    </w:pPr>
    <w:rPr>
      <w:b/>
      <w:spacing w:val="20"/>
    </w:rPr>
  </w:style>
  <w:style w:type="paragraph" w:styleId="5">
    <w:name w:val="heading 5"/>
    <w:basedOn w:val="a"/>
    <w:next w:val="a"/>
    <w:rsid w:val="00AC45E1"/>
    <w:pPr>
      <w:keepNext/>
      <w:jc w:val="center"/>
      <w:outlineLvl w:val="4"/>
    </w:pPr>
    <w:rPr>
      <w:b/>
      <w:spacing w:val="60"/>
      <w:sz w:val="36"/>
    </w:rPr>
  </w:style>
  <w:style w:type="paragraph" w:styleId="6">
    <w:name w:val="heading 6"/>
    <w:basedOn w:val="a"/>
    <w:next w:val="a"/>
    <w:rsid w:val="00AC45E1"/>
    <w:pPr>
      <w:keepNext/>
      <w:jc w:val="both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AC45E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C45E1"/>
  </w:style>
  <w:style w:type="paragraph" w:styleId="a3">
    <w:name w:val="endnote text"/>
    <w:basedOn w:val="a"/>
    <w:link w:val="a4"/>
    <w:uiPriority w:val="99"/>
    <w:semiHidden/>
    <w:unhideWhenUsed/>
    <w:rsid w:val="00AC45E1"/>
    <w:rPr>
      <w:sz w:val="20"/>
    </w:rPr>
  </w:style>
  <w:style w:type="character" w:customStyle="1" w:styleId="a4">
    <w:name w:val="Текст концевой сноски Знак"/>
    <w:link w:val="a3"/>
    <w:uiPriority w:val="99"/>
    <w:rsid w:val="00AC45E1"/>
    <w:rPr>
      <w:sz w:val="20"/>
    </w:rPr>
  </w:style>
  <w:style w:type="character" w:styleId="a5">
    <w:name w:val="endnote reference"/>
    <w:basedOn w:val="a0"/>
    <w:uiPriority w:val="99"/>
    <w:semiHidden/>
    <w:unhideWhenUsed/>
    <w:rsid w:val="00AC45E1"/>
    <w:rPr>
      <w:vertAlign w:val="superscript"/>
    </w:rPr>
  </w:style>
  <w:style w:type="paragraph" w:customStyle="1" w:styleId="110">
    <w:name w:val="Заголовок 11"/>
    <w:link w:val="Heading1Char"/>
    <w:uiPriority w:val="9"/>
    <w:qFormat/>
    <w:rsid w:val="00AC45E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AC45E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C45E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C45E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C45E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C45E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C45E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C45E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C45E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C45E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C45E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AC45E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C45E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AC45E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C45E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AC45E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C45E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C45E1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uiPriority w:val="34"/>
    <w:qFormat/>
    <w:rsid w:val="00AC45E1"/>
    <w:pPr>
      <w:ind w:left="720"/>
      <w:contextualSpacing/>
    </w:pPr>
  </w:style>
  <w:style w:type="paragraph" w:styleId="a7">
    <w:name w:val="No Spacing"/>
    <w:uiPriority w:val="1"/>
    <w:qFormat/>
    <w:rsid w:val="00AC45E1"/>
  </w:style>
  <w:style w:type="paragraph" w:styleId="a8">
    <w:name w:val="Title"/>
    <w:link w:val="a9"/>
    <w:uiPriority w:val="10"/>
    <w:qFormat/>
    <w:rsid w:val="00AC45E1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AC45E1"/>
    <w:rPr>
      <w:sz w:val="48"/>
      <w:szCs w:val="48"/>
    </w:rPr>
  </w:style>
  <w:style w:type="paragraph" w:styleId="aa">
    <w:name w:val="Subtitle"/>
    <w:link w:val="ab"/>
    <w:uiPriority w:val="11"/>
    <w:qFormat/>
    <w:rsid w:val="00AC45E1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AC45E1"/>
    <w:rPr>
      <w:sz w:val="24"/>
      <w:szCs w:val="24"/>
    </w:rPr>
  </w:style>
  <w:style w:type="paragraph" w:styleId="2">
    <w:name w:val="Quote"/>
    <w:link w:val="20"/>
    <w:uiPriority w:val="29"/>
    <w:qFormat/>
    <w:rsid w:val="00AC45E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C45E1"/>
    <w:rPr>
      <w:i/>
    </w:rPr>
  </w:style>
  <w:style w:type="paragraph" w:styleId="ac">
    <w:name w:val="Intense Quote"/>
    <w:link w:val="ad"/>
    <w:uiPriority w:val="30"/>
    <w:qFormat/>
    <w:rsid w:val="00AC45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AC45E1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C45E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C45E1"/>
  </w:style>
  <w:style w:type="paragraph" w:customStyle="1" w:styleId="13">
    <w:name w:val="Нижний колонтитул1"/>
    <w:link w:val="FooterChar"/>
    <w:uiPriority w:val="99"/>
    <w:unhideWhenUsed/>
    <w:rsid w:val="00AC45E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AC45E1"/>
  </w:style>
  <w:style w:type="table" w:styleId="ae">
    <w:name w:val="Table Grid"/>
    <w:uiPriority w:val="59"/>
    <w:rsid w:val="00AC4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C45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C45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C45E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C45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C45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C45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C45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C45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C45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C45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C45E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C45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C45E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C45E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C45E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C45E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C45E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C45E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C45E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C45E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C45E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C45E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C45E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C45E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C45E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C45E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C45E1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C45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sid w:val="00AC45E1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rsid w:val="00AC45E1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C45E1"/>
    <w:rPr>
      <w:sz w:val="18"/>
    </w:rPr>
  </w:style>
  <w:style w:type="character" w:styleId="af2">
    <w:name w:val="footnote reference"/>
    <w:uiPriority w:val="99"/>
    <w:unhideWhenUsed/>
    <w:rsid w:val="00AC45E1"/>
    <w:rPr>
      <w:vertAlign w:val="superscript"/>
    </w:rPr>
  </w:style>
  <w:style w:type="paragraph" w:styleId="14">
    <w:name w:val="toc 1"/>
    <w:uiPriority w:val="39"/>
    <w:unhideWhenUsed/>
    <w:rsid w:val="00AC45E1"/>
    <w:pPr>
      <w:spacing w:after="57"/>
    </w:pPr>
  </w:style>
  <w:style w:type="paragraph" w:styleId="22">
    <w:name w:val="toc 2"/>
    <w:uiPriority w:val="39"/>
    <w:unhideWhenUsed/>
    <w:rsid w:val="00AC45E1"/>
    <w:pPr>
      <w:spacing w:after="57"/>
      <w:ind w:left="283"/>
    </w:pPr>
  </w:style>
  <w:style w:type="paragraph" w:styleId="3">
    <w:name w:val="toc 3"/>
    <w:uiPriority w:val="39"/>
    <w:unhideWhenUsed/>
    <w:rsid w:val="00AC45E1"/>
    <w:pPr>
      <w:spacing w:after="57"/>
      <w:ind w:left="567"/>
    </w:pPr>
  </w:style>
  <w:style w:type="paragraph" w:styleId="40">
    <w:name w:val="toc 4"/>
    <w:uiPriority w:val="39"/>
    <w:unhideWhenUsed/>
    <w:rsid w:val="00AC45E1"/>
    <w:pPr>
      <w:spacing w:after="57"/>
      <w:ind w:left="850"/>
    </w:pPr>
  </w:style>
  <w:style w:type="paragraph" w:styleId="50">
    <w:name w:val="toc 5"/>
    <w:uiPriority w:val="39"/>
    <w:unhideWhenUsed/>
    <w:rsid w:val="00AC45E1"/>
    <w:pPr>
      <w:spacing w:after="57"/>
      <w:ind w:left="1134"/>
    </w:pPr>
  </w:style>
  <w:style w:type="paragraph" w:styleId="60">
    <w:name w:val="toc 6"/>
    <w:uiPriority w:val="39"/>
    <w:unhideWhenUsed/>
    <w:rsid w:val="00AC45E1"/>
    <w:pPr>
      <w:spacing w:after="57"/>
      <w:ind w:left="1417"/>
    </w:pPr>
  </w:style>
  <w:style w:type="paragraph" w:styleId="7">
    <w:name w:val="toc 7"/>
    <w:uiPriority w:val="39"/>
    <w:unhideWhenUsed/>
    <w:rsid w:val="00AC45E1"/>
    <w:pPr>
      <w:spacing w:after="57"/>
      <w:ind w:left="1701"/>
    </w:pPr>
  </w:style>
  <w:style w:type="paragraph" w:styleId="8">
    <w:name w:val="toc 8"/>
    <w:uiPriority w:val="39"/>
    <w:unhideWhenUsed/>
    <w:rsid w:val="00AC45E1"/>
    <w:pPr>
      <w:spacing w:after="57"/>
      <w:ind w:left="1984"/>
    </w:pPr>
  </w:style>
  <w:style w:type="paragraph" w:styleId="9">
    <w:name w:val="toc 9"/>
    <w:uiPriority w:val="39"/>
    <w:unhideWhenUsed/>
    <w:rsid w:val="00AC45E1"/>
    <w:pPr>
      <w:spacing w:after="57"/>
      <w:ind w:left="2268"/>
    </w:pPr>
  </w:style>
  <w:style w:type="paragraph" w:styleId="af3">
    <w:name w:val="TOC Heading"/>
    <w:uiPriority w:val="39"/>
    <w:unhideWhenUsed/>
    <w:rsid w:val="00AC45E1"/>
  </w:style>
  <w:style w:type="paragraph" w:styleId="af4">
    <w:name w:val="Body Text Indent"/>
    <w:basedOn w:val="a"/>
    <w:rsid w:val="00AC45E1"/>
    <w:pPr>
      <w:ind w:firstLine="705"/>
    </w:pPr>
  </w:style>
  <w:style w:type="paragraph" w:styleId="23">
    <w:name w:val="Body Text Indent 2"/>
    <w:basedOn w:val="a"/>
    <w:rsid w:val="00AC45E1"/>
    <w:pPr>
      <w:ind w:firstLine="900"/>
      <w:jc w:val="both"/>
    </w:pPr>
  </w:style>
  <w:style w:type="paragraph" w:styleId="af5">
    <w:name w:val="Body Text"/>
    <w:basedOn w:val="a"/>
    <w:rsid w:val="00AC45E1"/>
    <w:pPr>
      <w:spacing w:after="120"/>
    </w:pPr>
  </w:style>
  <w:style w:type="paragraph" w:styleId="30">
    <w:name w:val="Body Text 3"/>
    <w:basedOn w:val="a"/>
    <w:rsid w:val="00AC45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45E1"/>
    <w:pPr>
      <w:widowControl w:val="0"/>
      <w:ind w:firstLine="720"/>
    </w:pPr>
    <w:rPr>
      <w:rFonts w:ascii="Arial" w:hAnsi="Arial"/>
      <w:lang w:eastAsia="ru-RU" w:bidi="ar-SA"/>
    </w:rPr>
  </w:style>
  <w:style w:type="paragraph" w:styleId="af6">
    <w:name w:val="header"/>
    <w:basedOn w:val="a"/>
    <w:link w:val="af7"/>
    <w:rsid w:val="00AC45E1"/>
    <w:pPr>
      <w:tabs>
        <w:tab w:val="center" w:pos="4677"/>
        <w:tab w:val="right" w:pos="9355"/>
      </w:tabs>
    </w:pPr>
    <w:rPr>
      <w:lang w:val="en-US"/>
    </w:rPr>
  </w:style>
  <w:style w:type="character" w:styleId="af8">
    <w:name w:val="page number"/>
    <w:basedOn w:val="a0"/>
    <w:rsid w:val="00AC45E1"/>
  </w:style>
  <w:style w:type="paragraph" w:customStyle="1" w:styleId="ConsPlusTitle">
    <w:name w:val="ConsPlusTitle"/>
    <w:rsid w:val="00AC45E1"/>
    <w:pPr>
      <w:widowControl w:val="0"/>
    </w:pPr>
    <w:rPr>
      <w:rFonts w:ascii="Arial" w:hAnsi="Arial"/>
      <w:b/>
      <w:bCs/>
      <w:lang w:eastAsia="ru-RU" w:bidi="ar-SA"/>
    </w:rPr>
  </w:style>
  <w:style w:type="paragraph" w:styleId="af9">
    <w:name w:val="Balloon Text"/>
    <w:basedOn w:val="a"/>
    <w:link w:val="afa"/>
    <w:rsid w:val="00AC45E1"/>
    <w:rPr>
      <w:rFonts w:ascii="Tahoma" w:hAnsi="Tahoma"/>
      <w:sz w:val="16"/>
      <w:szCs w:val="16"/>
      <w:lang w:val="en-US"/>
    </w:rPr>
  </w:style>
  <w:style w:type="character" w:customStyle="1" w:styleId="afa">
    <w:name w:val="Текст выноски Знак"/>
    <w:link w:val="af9"/>
    <w:rsid w:val="00AC45E1"/>
    <w:rPr>
      <w:rFonts w:ascii="Tahoma" w:hAnsi="Tahoma"/>
      <w:sz w:val="16"/>
      <w:szCs w:val="16"/>
    </w:rPr>
  </w:style>
  <w:style w:type="paragraph" w:styleId="afb">
    <w:name w:val="footer"/>
    <w:basedOn w:val="a"/>
    <w:link w:val="afc"/>
    <w:rsid w:val="00AC45E1"/>
    <w:pPr>
      <w:tabs>
        <w:tab w:val="center" w:pos="4677"/>
        <w:tab w:val="right" w:pos="9355"/>
      </w:tabs>
    </w:pPr>
    <w:rPr>
      <w:lang w:val="en-US"/>
    </w:rPr>
  </w:style>
  <w:style w:type="character" w:customStyle="1" w:styleId="afc">
    <w:name w:val="Нижний колонтитул Знак"/>
    <w:link w:val="afb"/>
    <w:rsid w:val="00AC45E1"/>
    <w:rPr>
      <w:sz w:val="24"/>
      <w:szCs w:val="24"/>
    </w:rPr>
  </w:style>
  <w:style w:type="paragraph" w:customStyle="1" w:styleId="ConsPlusNonformat">
    <w:name w:val="ConsPlusNonformat"/>
    <w:rsid w:val="00AC45E1"/>
    <w:pPr>
      <w:widowControl w:val="0"/>
    </w:pPr>
    <w:rPr>
      <w:rFonts w:ascii="Courier New" w:hAnsi="Courier New"/>
      <w:lang w:eastAsia="ru-RU" w:bidi="ar-SA"/>
    </w:rPr>
  </w:style>
  <w:style w:type="character" w:customStyle="1" w:styleId="af7">
    <w:name w:val="Верхний колонтитул Знак"/>
    <w:link w:val="af6"/>
    <w:rsid w:val="00AC45E1"/>
    <w:rPr>
      <w:sz w:val="24"/>
      <w:szCs w:val="24"/>
    </w:rPr>
  </w:style>
  <w:style w:type="paragraph" w:styleId="24">
    <w:name w:val="Body Text 2"/>
    <w:basedOn w:val="a"/>
    <w:link w:val="25"/>
    <w:rsid w:val="00AC45E1"/>
    <w:pPr>
      <w:spacing w:after="120" w:line="480" w:lineRule="auto"/>
    </w:pPr>
    <w:rPr>
      <w:lang w:val="en-US"/>
    </w:rPr>
  </w:style>
  <w:style w:type="character" w:customStyle="1" w:styleId="25">
    <w:name w:val="Основной текст 2 Знак"/>
    <w:link w:val="24"/>
    <w:rsid w:val="00AC45E1"/>
    <w:rPr>
      <w:sz w:val="24"/>
      <w:szCs w:val="24"/>
    </w:rPr>
  </w:style>
  <w:style w:type="paragraph" w:styleId="afd">
    <w:name w:val="caption"/>
    <w:basedOn w:val="a"/>
    <w:next w:val="a"/>
    <w:rsid w:val="00AC45E1"/>
    <w:pPr>
      <w:spacing w:before="240" w:line="276" w:lineRule="auto"/>
      <w:jc w:val="both"/>
    </w:pPr>
  </w:style>
  <w:style w:type="paragraph" w:customStyle="1" w:styleId="ConsPlusNormal0">
    <w:name w:val="ConsPlusNormal"/>
    <w:rsid w:val="00AC45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0"/>
      <w:szCs w:val="20"/>
      <w:lang w:val="en-US" w:eastAsia="zh-CN" w:bidi="ar-SA"/>
    </w:rPr>
  </w:style>
  <w:style w:type="character" w:customStyle="1" w:styleId="10">
    <w:name w:val="Заголовок 1 Знак"/>
    <w:basedOn w:val="a0"/>
    <w:link w:val="1"/>
    <w:uiPriority w:val="9"/>
    <w:rsid w:val="00245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TAGIL</dc:creator>
  <cp:lastModifiedBy>User</cp:lastModifiedBy>
  <cp:revision>6</cp:revision>
  <dcterms:created xsi:type="dcterms:W3CDTF">2021-12-09T13:14:00Z</dcterms:created>
  <dcterms:modified xsi:type="dcterms:W3CDTF">2021-12-10T13:58:00Z</dcterms:modified>
</cp:coreProperties>
</file>